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cs="宋体" w:asciiTheme="majorEastAsia" w:hAnsiTheme="majorEastAsia" w:eastAsiaTheme="majorEastAsia"/>
          <w:b/>
          <w:bCs/>
          <w:kern w:val="0"/>
          <w:sz w:val="36"/>
          <w:szCs w:val="20"/>
        </w:rPr>
      </w:pPr>
      <w:r>
        <w:rPr>
          <w:rFonts w:hint="eastAsia" w:cs="宋体" w:asciiTheme="majorEastAsia" w:hAnsiTheme="majorEastAsia" w:eastAsiaTheme="majorEastAsia"/>
          <w:b/>
          <w:bCs/>
          <w:kern w:val="0"/>
          <w:sz w:val="36"/>
          <w:szCs w:val="20"/>
        </w:rPr>
        <w:t>材料科学与工程学院研究生学业奖学金评定细则</w:t>
      </w:r>
    </w:p>
    <w:p>
      <w:pPr>
        <w:widowControl/>
        <w:shd w:val="clear" w:color="auto" w:fill="FFFFFF"/>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 xml:space="preserve">                                               2016.5</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Arial" w:asciiTheme="majorEastAsia" w:hAnsiTheme="majorEastAsia" w:eastAsiaTheme="majorEastAsia"/>
          <w:color w:val="44546A" w:themeColor="text2"/>
          <w:kern w:val="0"/>
          <w:sz w:val="24"/>
          <w:szCs w:val="24"/>
          <w14:textFill>
            <w14:solidFill>
              <w14:schemeClr w14:val="tx2"/>
            </w14:solidFill>
          </w14:textFill>
        </w:rPr>
        <w:t>根据《山西省财政厅 山西省教育厅关于印发〈山西省研究生学业奖学金管理暂行办法〉的通知》（晋财教〔2014〕184号）相关文件精神和</w:t>
      </w:r>
      <w:r>
        <w:rPr>
          <w:rFonts w:hint="eastAsia" w:cs="宋体" w:asciiTheme="majorEastAsia" w:hAnsiTheme="majorEastAsia" w:eastAsiaTheme="majorEastAsia"/>
          <w:color w:val="44546A" w:themeColor="text2"/>
          <w:kern w:val="0"/>
          <w:sz w:val="24"/>
          <w:szCs w:val="24"/>
          <w14:textFill>
            <w14:solidFill>
              <w14:schemeClr w14:val="tx2"/>
            </w14:solidFill>
          </w14:textFill>
        </w:rPr>
        <w:t>《</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中北大学研究生学业奖学金评定管理办法（试行）</w:t>
      </w:r>
      <w:r>
        <w:rPr>
          <w:rFonts w:hint="eastAsia" w:cs="宋体" w:asciiTheme="majorEastAsia" w:hAnsiTheme="majorEastAsia" w:eastAsiaTheme="majorEastAsia"/>
          <w:color w:val="44546A" w:themeColor="text2"/>
          <w:kern w:val="0"/>
          <w:sz w:val="24"/>
          <w:szCs w:val="24"/>
          <w14:textFill>
            <w14:solidFill>
              <w14:schemeClr w14:val="tx2"/>
            </w14:solidFill>
          </w14:textFill>
        </w:rPr>
        <w:t>》规定，现对我院研究生学业奖学金进行评定，具体评定办法如下：</w:t>
      </w:r>
    </w:p>
    <w:p>
      <w:pPr>
        <w:widowControl/>
        <w:shd w:val="clear" w:color="auto" w:fill="FFFFFF"/>
        <w:spacing w:line="276" w:lineRule="auto"/>
        <w:jc w:val="left"/>
        <w:rPr>
          <w:rFonts w:cs="宋体" w:asciiTheme="majorEastAsia" w:hAnsiTheme="majorEastAsia" w:eastAsiaTheme="majorEastAsia"/>
          <w:b/>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
          <w:bCs/>
          <w:color w:val="44546A" w:themeColor="text2"/>
          <w:kern w:val="0"/>
          <w:sz w:val="24"/>
          <w:szCs w:val="24"/>
          <w14:textFill>
            <w14:solidFill>
              <w14:schemeClr w14:val="tx2"/>
            </w14:solidFill>
          </w14:textFill>
        </w:rPr>
        <w:t>一、评选委员会</w:t>
      </w:r>
    </w:p>
    <w:p>
      <w:pPr>
        <w:widowControl/>
        <w:shd w:val="clear" w:color="auto" w:fill="FFFFFF"/>
        <w:spacing w:line="360" w:lineRule="auto"/>
        <w:ind w:firstLine="57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学院研究生评优奖励工作委员会。</w:t>
      </w:r>
    </w:p>
    <w:p>
      <w:pPr>
        <w:widowControl/>
        <w:shd w:val="clear" w:color="auto" w:fill="FFFFFF"/>
        <w:spacing w:line="360" w:lineRule="auto"/>
        <w:ind w:firstLine="57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主任：院党委书记</w:t>
      </w:r>
    </w:p>
    <w:p>
      <w:pPr>
        <w:widowControl/>
        <w:shd w:val="clear" w:color="auto" w:fill="FFFFFF"/>
        <w:spacing w:line="360" w:lineRule="auto"/>
        <w:ind w:firstLine="57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副主任：院党委副书记或科研副院长</w:t>
      </w:r>
    </w:p>
    <w:p>
      <w:pPr>
        <w:widowControl/>
        <w:shd w:val="clear" w:color="auto" w:fill="FFFFFF"/>
        <w:spacing w:line="360" w:lineRule="auto"/>
        <w:ind w:firstLine="57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委员：</w:t>
      </w:r>
      <w:r>
        <w:rPr>
          <w:rFonts w:hint="eastAsia" w:cs="Arial" w:asciiTheme="majorEastAsia" w:hAnsiTheme="majorEastAsia" w:eastAsiaTheme="majorEastAsia"/>
          <w:color w:val="44546A" w:themeColor="text2"/>
          <w:kern w:val="0"/>
          <w:sz w:val="24"/>
          <w:szCs w:val="24"/>
          <w14:textFill>
            <w14:solidFill>
              <w14:schemeClr w14:val="tx2"/>
            </w14:solidFill>
          </w14:textFill>
        </w:rPr>
        <w:t>导师代表、研究生辅导员、研究生代表委员</w:t>
      </w:r>
    </w:p>
    <w:p>
      <w:pPr>
        <w:widowControl/>
        <w:shd w:val="clear" w:color="auto" w:fill="FFFFFF"/>
        <w:spacing w:line="360" w:lineRule="auto"/>
        <w:ind w:firstLine="57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奖励工作委员会办公室设在科研与学科建设科。</w:t>
      </w:r>
    </w:p>
    <w:p>
      <w:pPr>
        <w:widowControl/>
        <w:shd w:val="clear" w:color="auto" w:fill="FFFFFF"/>
        <w:spacing w:line="276" w:lineRule="auto"/>
        <w:jc w:val="left"/>
        <w:rPr>
          <w:rFonts w:cs="宋体" w:asciiTheme="majorEastAsia" w:hAnsiTheme="majorEastAsia" w:eastAsiaTheme="majorEastAsia"/>
          <w:b/>
          <w:color w:val="44546A" w:themeColor="text2"/>
          <w:kern w:val="0"/>
          <w:sz w:val="24"/>
          <w:szCs w:val="24"/>
          <w14:textFill>
            <w14:solidFill>
              <w14:schemeClr w14:val="tx2"/>
            </w14:solidFill>
          </w14:textFill>
        </w:rPr>
      </w:pPr>
      <w:r>
        <w:rPr>
          <w:rFonts w:hint="eastAsia" w:cs="宋体" w:asciiTheme="majorEastAsia" w:hAnsiTheme="majorEastAsia" w:eastAsiaTheme="majorEastAsia"/>
          <w:b/>
          <w:color w:val="44546A" w:themeColor="text2"/>
          <w:kern w:val="0"/>
          <w:sz w:val="24"/>
          <w:szCs w:val="24"/>
          <w14:textFill>
            <w14:solidFill>
              <w14:schemeClr w14:val="tx2"/>
            </w14:solidFill>
          </w14:textFill>
        </w:rPr>
        <w:t>二．研究生学业奖学金类型、分配比例及金额：</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Arial" w:asciiTheme="majorEastAsia" w:hAnsiTheme="majorEastAsia" w:eastAsiaTheme="majorEastAsia"/>
          <w:color w:val="44546A" w:themeColor="text2"/>
          <w:kern w:val="0"/>
          <w:sz w:val="24"/>
          <w:szCs w:val="24"/>
          <w14:textFill>
            <w14:solidFill>
              <w14:schemeClr w14:val="tx2"/>
            </w14:solidFill>
          </w14:textFill>
        </w:rPr>
        <w:t>1.硕士研究生学业奖学金分为：</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（1）</w:t>
      </w:r>
      <w:r>
        <w:rPr>
          <w:rFonts w:hint="eastAsia" w:cs="Arial" w:asciiTheme="majorEastAsia" w:hAnsiTheme="majorEastAsia" w:eastAsiaTheme="majorEastAsia"/>
          <w:color w:val="44546A" w:themeColor="text2"/>
          <w:kern w:val="0"/>
          <w:sz w:val="24"/>
          <w:szCs w:val="24"/>
          <w14:textFill>
            <w14:solidFill>
              <w14:schemeClr w14:val="tx2"/>
            </w14:solidFill>
          </w14:textFill>
        </w:rPr>
        <w:t>一等奖学金：评定比例为10%，奖励金额为8000元</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（2）</w:t>
      </w:r>
      <w:r>
        <w:rPr>
          <w:rFonts w:hint="eastAsia" w:cs="Arial" w:asciiTheme="majorEastAsia" w:hAnsiTheme="majorEastAsia" w:eastAsiaTheme="majorEastAsia"/>
          <w:color w:val="44546A" w:themeColor="text2"/>
          <w:kern w:val="0"/>
          <w:sz w:val="24"/>
          <w:szCs w:val="24"/>
          <w14:textFill>
            <w14:solidFill>
              <w14:schemeClr w14:val="tx2"/>
            </w14:solidFill>
          </w14:textFill>
        </w:rPr>
        <w:t>二等奖学金：评定比例为10%，奖励金额为6000元</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（3）</w:t>
      </w:r>
      <w:r>
        <w:rPr>
          <w:rFonts w:hint="eastAsia" w:cs="Arial" w:asciiTheme="majorEastAsia" w:hAnsiTheme="majorEastAsia" w:eastAsiaTheme="majorEastAsia"/>
          <w:color w:val="44546A" w:themeColor="text2"/>
          <w:kern w:val="0"/>
          <w:sz w:val="24"/>
          <w:szCs w:val="24"/>
          <w14:textFill>
            <w14:solidFill>
              <w14:schemeClr w14:val="tx2"/>
            </w14:solidFill>
          </w14:textFill>
        </w:rPr>
        <w:t>三等奖学金：评定比例为30%，奖励金额为4000元</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（4）</w:t>
      </w:r>
      <w:r>
        <w:rPr>
          <w:rFonts w:hint="eastAsia" w:cs="Arial" w:asciiTheme="majorEastAsia" w:hAnsiTheme="majorEastAsia" w:eastAsiaTheme="majorEastAsia"/>
          <w:color w:val="44546A" w:themeColor="text2"/>
          <w:kern w:val="0"/>
          <w:sz w:val="24"/>
          <w:szCs w:val="24"/>
          <w14:textFill>
            <w14:solidFill>
              <w14:schemeClr w14:val="tx2"/>
            </w14:solidFill>
          </w14:textFill>
        </w:rPr>
        <w:t>四等奖学金：评定比例为30%，奖励金额为2000元</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Arial" w:asciiTheme="majorEastAsia" w:hAnsiTheme="majorEastAsia" w:eastAsiaTheme="majorEastAsia"/>
          <w:color w:val="44546A" w:themeColor="text2"/>
          <w:kern w:val="0"/>
          <w:sz w:val="24"/>
          <w:szCs w:val="24"/>
          <w14:textFill>
            <w14:solidFill>
              <w14:schemeClr w14:val="tx2"/>
            </w14:solidFill>
          </w14:textFill>
        </w:rPr>
        <w:t>2.博士研究生学业奖学金分为：</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（1）</w:t>
      </w:r>
      <w:r>
        <w:rPr>
          <w:rFonts w:hint="eastAsia" w:cs="Arial" w:asciiTheme="majorEastAsia" w:hAnsiTheme="majorEastAsia" w:eastAsiaTheme="majorEastAsia"/>
          <w:color w:val="44546A" w:themeColor="text2"/>
          <w:kern w:val="0"/>
          <w:sz w:val="24"/>
          <w:szCs w:val="24"/>
          <w14:textFill>
            <w14:solidFill>
              <w14:schemeClr w14:val="tx2"/>
            </w14:solidFill>
          </w14:textFill>
        </w:rPr>
        <w:t>一等奖学金：评定比例为50%，奖励金额为8000元</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（2）</w:t>
      </w:r>
      <w:r>
        <w:rPr>
          <w:rFonts w:hint="eastAsia" w:cs="Arial" w:asciiTheme="majorEastAsia" w:hAnsiTheme="majorEastAsia" w:eastAsiaTheme="majorEastAsia"/>
          <w:color w:val="44546A" w:themeColor="text2"/>
          <w:kern w:val="0"/>
          <w:sz w:val="24"/>
          <w:szCs w:val="24"/>
          <w14:textFill>
            <w14:solidFill>
              <w14:schemeClr w14:val="tx2"/>
            </w14:solidFill>
          </w14:textFill>
        </w:rPr>
        <w:t>二等奖学金：评定比例为50%，奖励金额为6000元</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Arial" w:asciiTheme="majorEastAsia" w:hAnsiTheme="majorEastAsia" w:eastAsiaTheme="majorEastAsia"/>
          <w:color w:val="44546A" w:themeColor="text2"/>
          <w:kern w:val="0"/>
          <w:sz w:val="24"/>
          <w:szCs w:val="24"/>
          <w14:textFill>
            <w14:solidFill>
              <w14:schemeClr w14:val="tx2"/>
            </w14:solidFill>
          </w14:textFill>
        </w:rPr>
        <w:t>研究生学业奖学金每年5月评定一次，</w:t>
      </w:r>
      <w:r>
        <w:rPr>
          <w:rFonts w:hint="eastAsia" w:cs="Arial" w:asciiTheme="majorEastAsia" w:hAnsiTheme="majorEastAsia" w:eastAsiaTheme="majorEastAsia"/>
          <w:color w:val="44546A" w:themeColor="text2"/>
          <w:kern w:val="0"/>
          <w:sz w:val="24"/>
          <w:szCs w:val="24"/>
          <w:lang w:eastAsia="zh-CN"/>
          <w14:textFill>
            <w14:solidFill>
              <w14:schemeClr w14:val="tx2"/>
            </w14:solidFill>
          </w14:textFill>
        </w:rPr>
        <w:t>奖励名额分配按比例分学术型硕士和专业型硕士</w:t>
      </w:r>
      <w:r>
        <w:rPr>
          <w:rFonts w:hint="eastAsia" w:cs="Arial" w:asciiTheme="majorEastAsia" w:hAnsiTheme="majorEastAsia" w:eastAsiaTheme="majorEastAsia"/>
          <w:color w:val="44546A" w:themeColor="text2"/>
          <w:kern w:val="0"/>
          <w:sz w:val="24"/>
          <w:szCs w:val="24"/>
          <w14:textFill>
            <w14:solidFill>
              <w14:schemeClr w14:val="tx2"/>
            </w14:solidFill>
          </w14:textFill>
        </w:rPr>
        <w:t>学院根据实际情况进行</w:t>
      </w:r>
      <w:r>
        <w:rPr>
          <w:rFonts w:hint="eastAsia" w:cs="Arial" w:asciiTheme="majorEastAsia" w:hAnsiTheme="majorEastAsia" w:eastAsiaTheme="majorEastAsia"/>
          <w:color w:val="44546A" w:themeColor="text2"/>
          <w:kern w:val="0"/>
          <w:sz w:val="24"/>
          <w:szCs w:val="24"/>
          <w:lang w:eastAsia="zh-CN"/>
          <w14:textFill>
            <w14:solidFill>
              <w14:schemeClr w14:val="tx2"/>
            </w14:solidFill>
          </w14:textFill>
        </w:rPr>
        <w:t>分配</w:t>
      </w:r>
    </w:p>
    <w:p>
      <w:pPr>
        <w:widowControl/>
        <w:shd w:val="clear" w:color="auto" w:fill="FFFFFF"/>
        <w:spacing w:line="276" w:lineRule="auto"/>
        <w:jc w:val="left"/>
        <w:rPr>
          <w:rFonts w:cs="宋体" w:asciiTheme="majorEastAsia" w:hAnsiTheme="majorEastAsia" w:eastAsiaTheme="majorEastAsia"/>
          <w:b/>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
          <w:bCs/>
          <w:color w:val="44546A" w:themeColor="text2"/>
          <w:kern w:val="0"/>
          <w:sz w:val="24"/>
          <w:szCs w:val="24"/>
          <w14:textFill>
            <w14:solidFill>
              <w14:schemeClr w14:val="tx2"/>
            </w14:solidFill>
          </w14:textFill>
        </w:rPr>
        <w:t>三、评选对象</w:t>
      </w:r>
    </w:p>
    <w:p>
      <w:pPr>
        <w:tabs>
          <w:tab w:val="left" w:pos="5400"/>
        </w:tabs>
        <w:spacing w:line="360" w:lineRule="auto"/>
        <w:ind w:firstLine="480" w:firstLineChars="200"/>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1．</w:t>
      </w:r>
      <w:r>
        <w:rPr>
          <w:rFonts w:hint="eastAsia" w:cs="Arial" w:asciiTheme="majorEastAsia" w:hAnsiTheme="majorEastAsia" w:eastAsiaTheme="majorEastAsia"/>
          <w:color w:val="44546A" w:themeColor="text2"/>
          <w:kern w:val="0"/>
          <w:sz w:val="24"/>
          <w:szCs w:val="24"/>
          <w14:textFill>
            <w14:solidFill>
              <w14:schemeClr w14:val="tx2"/>
            </w14:solidFill>
          </w14:textFill>
        </w:rPr>
        <w:t>面向我校已注册的正常学制内的全日制研究生。延期毕业研究生不参与学业奖学金评定。</w:t>
      </w:r>
    </w:p>
    <w:p>
      <w:pPr>
        <w:widowControl/>
        <w:shd w:val="clear" w:color="auto" w:fill="FFFFFF"/>
        <w:spacing w:line="360" w:lineRule="auto"/>
        <w:ind w:firstLine="57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2．</w:t>
      </w:r>
      <w:r>
        <w:rPr>
          <w:rFonts w:hint="eastAsia" w:cs="Arial" w:asciiTheme="majorEastAsia" w:hAnsiTheme="majorEastAsia" w:eastAsiaTheme="majorEastAsia"/>
          <w:color w:val="44546A" w:themeColor="text2"/>
          <w:kern w:val="0"/>
          <w:sz w:val="24"/>
          <w:szCs w:val="24"/>
          <w14:textFill>
            <w14:solidFill>
              <w14:schemeClr w14:val="tx2"/>
            </w14:solidFill>
          </w14:textFill>
        </w:rPr>
        <w:t>硕士推免生一年级可直接获得学业一等奖学金，且不占学院比例。博士推免生一年级可直接获得学业一等奖学金，占学院比例。二、三年级随班参评。</w:t>
      </w:r>
    </w:p>
    <w:p>
      <w:pPr>
        <w:widowControl/>
        <w:shd w:val="clear" w:color="auto" w:fill="FFFFFF"/>
        <w:spacing w:line="360" w:lineRule="auto"/>
        <w:ind w:firstLine="570"/>
        <w:jc w:val="left"/>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3．</w:t>
      </w:r>
      <w:r>
        <w:rPr>
          <w:rFonts w:hint="eastAsia" w:cs="Arial" w:asciiTheme="majorEastAsia" w:hAnsiTheme="majorEastAsia" w:eastAsiaTheme="majorEastAsia"/>
          <w:color w:val="44546A" w:themeColor="text2"/>
          <w:kern w:val="0"/>
          <w:sz w:val="24"/>
          <w:szCs w:val="24"/>
          <w14:textFill>
            <w14:solidFill>
              <w14:schemeClr w14:val="tx2"/>
            </w14:solidFill>
          </w14:textFill>
        </w:rPr>
        <w:t>硕博连读研究生，根据当年所修课程的层次阶段确定身份参与学业奖学金的评定（在选修硕士课程阶段，按照硕士研究生身份参与评定；在选修博士课程阶段，按照博士研究生身份参与评定）。</w:t>
      </w:r>
    </w:p>
    <w:p>
      <w:pPr>
        <w:widowControl/>
        <w:shd w:val="clear" w:color="auto" w:fill="FFFFFF"/>
        <w:spacing w:line="360" w:lineRule="auto"/>
        <w:jc w:val="left"/>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4．2015级定向研究生、在职研究生、国防生均参与学业奖学金的评定；</w:t>
      </w:r>
    </w:p>
    <w:p>
      <w:pPr>
        <w:widowControl/>
        <w:shd w:val="clear" w:color="auto" w:fill="FFFFFF"/>
        <w:spacing w:line="360" w:lineRule="auto"/>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14:textFill>
            <w14:solidFill>
              <w14:schemeClr w14:val="tx2"/>
            </w14:solidFill>
          </w14:textFill>
        </w:rPr>
        <w:t>四、评选条件</w:t>
      </w:r>
    </w:p>
    <w:p>
      <w:pPr>
        <w:widowControl/>
        <w:shd w:val="clear" w:color="auto" w:fill="FFFFFF"/>
        <w:spacing w:line="360" w:lineRule="auto"/>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Arial" w:asciiTheme="majorEastAsia" w:hAnsiTheme="majorEastAsia" w:eastAsiaTheme="majorEastAsia"/>
          <w:color w:val="44546A" w:themeColor="text2"/>
          <w:kern w:val="0"/>
          <w:sz w:val="24"/>
          <w:szCs w:val="24"/>
          <w14:textFill>
            <w14:solidFill>
              <w14:schemeClr w14:val="tx2"/>
            </w14:solidFill>
          </w14:textFill>
        </w:rPr>
        <w:t>1.</w:t>
      </w:r>
      <w:r>
        <w:rPr>
          <w:rFonts w:hint="eastAsia" w:cs="宋体" w:asciiTheme="majorEastAsia" w:hAnsiTheme="majorEastAsia" w:eastAsiaTheme="majorEastAsia"/>
          <w:color w:val="44546A" w:themeColor="text2"/>
          <w:kern w:val="0"/>
          <w:sz w:val="24"/>
          <w:szCs w:val="24"/>
          <w14:textFill>
            <w14:solidFill>
              <w14:schemeClr w14:val="tx2"/>
            </w14:solidFill>
          </w14:textFill>
        </w:rPr>
        <w:t>评定基本条件</w:t>
      </w:r>
    </w:p>
    <w:p>
      <w:pPr>
        <w:widowControl/>
        <w:shd w:val="clear" w:color="auto" w:fill="FFFFFF"/>
        <w:spacing w:line="360" w:lineRule="auto"/>
        <w:ind w:firstLine="120" w:firstLineChars="5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（1）热爱社会主义祖国，拥护中国共产党的领导；</w:t>
      </w:r>
    </w:p>
    <w:p>
      <w:pPr>
        <w:widowControl/>
        <w:shd w:val="clear" w:color="auto" w:fill="FFFFFF"/>
        <w:spacing w:line="360" w:lineRule="auto"/>
        <w:ind w:firstLine="120" w:firstLineChars="5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（2）遵守宪法和法律，遵守学校规章制度，无违法违纪行为；</w:t>
      </w:r>
    </w:p>
    <w:p>
      <w:pPr>
        <w:widowControl/>
        <w:shd w:val="clear" w:color="auto" w:fill="FFFFFF"/>
        <w:spacing w:line="360" w:lineRule="auto"/>
        <w:ind w:firstLine="120" w:firstLineChars="5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（3）诚实守信，品德优良</w:t>
      </w:r>
    </w:p>
    <w:p>
      <w:pPr>
        <w:widowControl/>
        <w:shd w:val="clear" w:color="auto" w:fill="FFFFFF"/>
        <w:spacing w:line="360" w:lineRule="auto"/>
        <w:ind w:firstLine="120" w:firstLineChars="5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（4）学习成绩优异，参评时已修课程无不及格;科研能力显著，发展潜力突出</w:t>
      </w:r>
    </w:p>
    <w:p>
      <w:pPr>
        <w:widowControl/>
        <w:shd w:val="clear" w:color="auto" w:fill="FFFFFF"/>
        <w:spacing w:line="360" w:lineRule="auto"/>
        <w:ind w:firstLine="120" w:firstLineChars="5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（5）全面发展，综合素质突出</w:t>
      </w:r>
    </w:p>
    <w:p>
      <w:pPr>
        <w:widowControl/>
        <w:shd w:val="clear" w:color="auto" w:fill="FFFFFF"/>
        <w:spacing w:line="360" w:lineRule="auto"/>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Arial" w:asciiTheme="majorEastAsia" w:hAnsiTheme="majorEastAsia" w:eastAsiaTheme="majorEastAsia"/>
          <w:color w:val="44546A" w:themeColor="text2"/>
          <w:kern w:val="0"/>
          <w:sz w:val="24"/>
          <w:szCs w:val="24"/>
          <w14:textFill>
            <w14:solidFill>
              <w14:schemeClr w14:val="tx2"/>
            </w14:solidFill>
          </w14:textFill>
        </w:rPr>
        <w:t>2.</w:t>
      </w:r>
      <w:r>
        <w:rPr>
          <w:rFonts w:hint="eastAsia" w:cs="宋体" w:asciiTheme="majorEastAsia" w:hAnsiTheme="majorEastAsia" w:eastAsiaTheme="majorEastAsia"/>
          <w:color w:val="44546A" w:themeColor="text2"/>
          <w:kern w:val="0"/>
          <w:sz w:val="24"/>
          <w:szCs w:val="24"/>
          <w14:textFill>
            <w14:solidFill>
              <w14:schemeClr w14:val="tx2"/>
            </w14:solidFill>
          </w14:textFill>
        </w:rPr>
        <w:t>凡符合下列条件之一者，实现一票否决，取消当年研究生学业奖学金的评定资格：</w:t>
      </w:r>
    </w:p>
    <w:p>
      <w:pPr>
        <w:widowControl/>
        <w:shd w:val="clear" w:color="auto" w:fill="FFFFFF"/>
        <w:spacing w:line="360" w:lineRule="auto"/>
        <w:ind w:firstLine="240" w:firstLineChars="100"/>
        <w:jc w:val="left"/>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（1）违反校规校纪受到校</w:t>
      </w:r>
      <w:r>
        <w:rPr>
          <w:rFonts w:hint="eastAsia" w:cs="宋体" w:asciiTheme="majorEastAsia" w:hAnsiTheme="majorEastAsia" w:eastAsiaTheme="majorEastAsia"/>
          <w:color w:val="auto"/>
          <w:kern w:val="0"/>
          <w:sz w:val="24"/>
          <w:szCs w:val="24"/>
          <w:lang w:eastAsia="zh-CN"/>
        </w:rPr>
        <w:t>级警告及以上处分</w:t>
      </w:r>
      <w:r>
        <w:rPr>
          <w:rFonts w:hint="eastAsia" w:cs="宋体" w:asciiTheme="majorEastAsia" w:hAnsiTheme="majorEastAsia" w:eastAsiaTheme="majorEastAsia"/>
          <w:color w:val="auto"/>
          <w:kern w:val="0"/>
          <w:sz w:val="24"/>
          <w:szCs w:val="24"/>
          <w:lang w:val="en-US" w:eastAsia="zh-CN"/>
        </w:rPr>
        <w:t>1次</w:t>
      </w:r>
      <w:r>
        <w:rPr>
          <w:rFonts w:hint="eastAsia" w:cs="宋体" w:asciiTheme="majorEastAsia" w:hAnsiTheme="majorEastAsia" w:eastAsiaTheme="majorEastAsia"/>
          <w:color w:val="auto"/>
          <w:kern w:val="0"/>
          <w:sz w:val="24"/>
          <w:szCs w:val="24"/>
        </w:rPr>
        <w:t>、</w:t>
      </w:r>
      <w:r>
        <w:rPr>
          <w:rFonts w:hint="eastAsia" w:cs="宋体" w:asciiTheme="majorEastAsia" w:hAnsiTheme="majorEastAsia" w:eastAsiaTheme="majorEastAsia"/>
          <w:color w:val="auto"/>
          <w:kern w:val="0"/>
          <w:sz w:val="24"/>
          <w:szCs w:val="24"/>
          <w:lang w:eastAsia="zh-CN"/>
        </w:rPr>
        <w:t>通报批评</w:t>
      </w:r>
      <w:r>
        <w:rPr>
          <w:rFonts w:hint="eastAsia" w:cs="宋体" w:asciiTheme="majorEastAsia" w:hAnsiTheme="majorEastAsia" w:eastAsiaTheme="majorEastAsia"/>
          <w:color w:val="auto"/>
          <w:kern w:val="0"/>
          <w:sz w:val="24"/>
          <w:szCs w:val="24"/>
        </w:rPr>
        <w:t>处分2次者；</w:t>
      </w:r>
    </w:p>
    <w:p>
      <w:pPr>
        <w:widowControl/>
        <w:shd w:val="clear" w:color="auto" w:fill="FFFFFF"/>
        <w:spacing w:line="360" w:lineRule="auto"/>
        <w:ind w:firstLine="240" w:firstLineChars="100"/>
        <w:jc w:val="left"/>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（2）</w:t>
      </w:r>
      <w:r>
        <w:rPr>
          <w:rFonts w:hint="eastAsia" w:cs="Arial" w:asciiTheme="majorEastAsia" w:hAnsiTheme="majorEastAsia" w:eastAsiaTheme="majorEastAsia"/>
          <w:color w:val="auto"/>
          <w:kern w:val="0"/>
          <w:sz w:val="24"/>
          <w:szCs w:val="24"/>
        </w:rPr>
        <w:t>有学术不端行为者</w:t>
      </w:r>
    </w:p>
    <w:p>
      <w:pPr>
        <w:widowControl/>
        <w:shd w:val="clear" w:color="auto" w:fill="FFFFFF"/>
        <w:spacing w:line="360" w:lineRule="auto"/>
        <w:ind w:firstLine="240" w:firstLineChars="10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（3）参加</w:t>
      </w:r>
      <w:r>
        <w:rPr>
          <w:rFonts w:cs="宋体" w:asciiTheme="majorEastAsia" w:hAnsiTheme="majorEastAsia" w:eastAsiaTheme="majorEastAsia"/>
          <w:color w:val="44546A" w:themeColor="text2"/>
          <w:kern w:val="0"/>
          <w:sz w:val="24"/>
          <w:szCs w:val="24"/>
          <w14:textFill>
            <w14:solidFill>
              <w14:schemeClr w14:val="tx2"/>
            </w14:solidFill>
          </w14:textFill>
        </w:rPr>
        <w:t>非法组织及活动</w:t>
      </w:r>
      <w:r>
        <w:rPr>
          <w:rFonts w:hint="eastAsia" w:cs="宋体" w:asciiTheme="majorEastAsia" w:hAnsiTheme="majorEastAsia" w:eastAsiaTheme="majorEastAsia"/>
          <w:color w:val="44546A" w:themeColor="text2"/>
          <w:kern w:val="0"/>
          <w:sz w:val="24"/>
          <w:szCs w:val="24"/>
          <w14:textFill>
            <w14:solidFill>
              <w14:schemeClr w14:val="tx2"/>
            </w14:solidFill>
          </w14:textFill>
        </w:rPr>
        <w:t>者</w:t>
      </w:r>
      <w:r>
        <w:rPr>
          <w:rFonts w:cs="宋体" w:asciiTheme="majorEastAsia" w:hAnsiTheme="majorEastAsia" w:eastAsiaTheme="majorEastAsia"/>
          <w:color w:val="44546A" w:themeColor="text2"/>
          <w:kern w:val="0"/>
          <w:sz w:val="24"/>
          <w:szCs w:val="24"/>
          <w14:textFill>
            <w14:solidFill>
              <w14:schemeClr w14:val="tx2"/>
            </w14:solidFill>
          </w14:textFill>
        </w:rPr>
        <w:t xml:space="preserve"> </w:t>
      </w:r>
    </w:p>
    <w:p>
      <w:pPr>
        <w:widowControl/>
        <w:shd w:val="clear" w:color="auto" w:fill="FFFFFF"/>
        <w:spacing w:line="360" w:lineRule="auto"/>
        <w:ind w:firstLine="240" w:firstLineChars="10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（4）无正当理由未及时注册者</w:t>
      </w:r>
    </w:p>
    <w:p>
      <w:pPr>
        <w:widowControl/>
        <w:spacing w:before="100" w:beforeAutospacing="1" w:after="100" w:afterAutospacing="1" w:line="360" w:lineRule="auto"/>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lang w:val="en-US" w:eastAsia="zh-CN"/>
          <w14:textFill>
            <w14:solidFill>
              <w14:schemeClr w14:val="tx2"/>
            </w14:solidFill>
          </w14:textFill>
        </w:rPr>
        <w:t>3</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.博士</w:t>
      </w:r>
      <w:r>
        <w:rPr>
          <w:rFonts w:cs="宋体" w:asciiTheme="majorEastAsia" w:hAnsiTheme="majorEastAsia" w:eastAsiaTheme="majorEastAsia"/>
          <w:bCs/>
          <w:color w:val="44546A" w:themeColor="text2"/>
          <w:kern w:val="0"/>
          <w:sz w:val="24"/>
          <w:szCs w:val="24"/>
          <w14:textFill>
            <w14:solidFill>
              <w14:schemeClr w14:val="tx2"/>
            </w14:solidFill>
          </w14:textFill>
        </w:rPr>
        <w:t>由所学专业的</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培养单位</w:t>
      </w:r>
      <w:r>
        <w:rPr>
          <w:rFonts w:cs="宋体" w:asciiTheme="majorEastAsia" w:hAnsiTheme="majorEastAsia" w:eastAsiaTheme="majorEastAsia"/>
          <w:bCs/>
          <w:color w:val="44546A" w:themeColor="text2"/>
          <w:kern w:val="0"/>
          <w:sz w:val="24"/>
          <w:szCs w:val="24"/>
          <w14:textFill>
            <w14:solidFill>
              <w14:schemeClr w14:val="tx2"/>
            </w14:solidFill>
          </w14:textFill>
        </w:rPr>
        <w:t>负责组织评审。</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由于</w:t>
      </w:r>
      <w:r>
        <w:rPr>
          <w:rFonts w:cs="宋体" w:asciiTheme="majorEastAsia" w:hAnsiTheme="majorEastAsia" w:eastAsiaTheme="majorEastAsia"/>
          <w:bCs/>
          <w:color w:val="44546A" w:themeColor="text2"/>
          <w:kern w:val="0"/>
          <w:sz w:val="24"/>
          <w:szCs w:val="24"/>
          <w14:textFill>
            <w14:solidFill>
              <w14:schemeClr w14:val="tx2"/>
            </w14:solidFill>
          </w14:textFill>
        </w:rPr>
        <w:t>出国</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w:t>
      </w:r>
      <w:r>
        <w:rPr>
          <w:rFonts w:cs="宋体" w:asciiTheme="majorEastAsia" w:hAnsiTheme="majorEastAsia" w:eastAsiaTheme="majorEastAsia"/>
          <w:bCs/>
          <w:color w:val="44546A" w:themeColor="text2"/>
          <w:kern w:val="0"/>
          <w:sz w:val="24"/>
          <w:szCs w:val="24"/>
          <w14:textFill>
            <w14:solidFill>
              <w14:schemeClr w14:val="tx2"/>
            </w14:solidFill>
          </w14:textFill>
        </w:rPr>
        <w:t>疾病等原因</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办理</w:t>
      </w:r>
      <w:r>
        <w:rPr>
          <w:rFonts w:cs="宋体" w:asciiTheme="majorEastAsia" w:hAnsiTheme="majorEastAsia" w:eastAsiaTheme="majorEastAsia"/>
          <w:bCs/>
          <w:color w:val="44546A" w:themeColor="text2"/>
          <w:kern w:val="0"/>
          <w:sz w:val="24"/>
          <w:szCs w:val="24"/>
          <w14:textFill>
            <w14:solidFill>
              <w14:schemeClr w14:val="tx2"/>
            </w14:solidFill>
          </w14:textFill>
        </w:rPr>
        <w:t>保留学籍或休学</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等</w:t>
      </w:r>
      <w:r>
        <w:rPr>
          <w:rFonts w:cs="宋体" w:asciiTheme="majorEastAsia" w:hAnsiTheme="majorEastAsia" w:eastAsiaTheme="majorEastAsia"/>
          <w:bCs/>
          <w:color w:val="44546A" w:themeColor="text2"/>
          <w:kern w:val="0"/>
          <w:sz w:val="24"/>
          <w:szCs w:val="24"/>
          <w14:textFill>
            <w14:solidFill>
              <w14:schemeClr w14:val="tx2"/>
            </w14:solidFill>
          </w14:textFill>
        </w:rPr>
        <w:t>手续的，</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待</w:t>
      </w:r>
      <w:r>
        <w:rPr>
          <w:rFonts w:cs="宋体" w:asciiTheme="majorEastAsia" w:hAnsiTheme="majorEastAsia" w:eastAsiaTheme="majorEastAsia"/>
          <w:bCs/>
          <w:color w:val="44546A" w:themeColor="text2"/>
          <w:kern w:val="0"/>
          <w:sz w:val="24"/>
          <w:szCs w:val="24"/>
          <w14:textFill>
            <w14:solidFill>
              <w14:schemeClr w14:val="tx2"/>
            </w14:solidFill>
          </w14:textFill>
        </w:rPr>
        <w:t>复学之后</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随</w:t>
      </w:r>
      <w:r>
        <w:rPr>
          <w:rFonts w:cs="宋体" w:asciiTheme="majorEastAsia" w:hAnsiTheme="majorEastAsia" w:eastAsiaTheme="majorEastAsia"/>
          <w:bCs/>
          <w:color w:val="44546A" w:themeColor="text2"/>
          <w:kern w:val="0"/>
          <w:sz w:val="24"/>
          <w:szCs w:val="24"/>
          <w14:textFill>
            <w14:solidFill>
              <w14:schemeClr w14:val="tx2"/>
            </w14:solidFill>
          </w14:textFill>
        </w:rPr>
        <w:t>新班级</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参评</w:t>
      </w:r>
      <w:r>
        <w:rPr>
          <w:rFonts w:cs="宋体" w:asciiTheme="majorEastAsia" w:hAnsiTheme="majorEastAsia" w:eastAsiaTheme="majorEastAsia"/>
          <w:bCs/>
          <w:color w:val="44546A" w:themeColor="text2"/>
          <w:kern w:val="0"/>
          <w:sz w:val="24"/>
          <w:szCs w:val="24"/>
          <w14:textFill>
            <w14:solidFill>
              <w14:schemeClr w14:val="tx2"/>
            </w14:solidFill>
          </w14:textFill>
        </w:rPr>
        <w:t>学业奖学金。</w:t>
      </w:r>
    </w:p>
    <w:p>
      <w:pPr>
        <w:widowControl/>
        <w:shd w:val="clear" w:color="auto" w:fill="FFFFFF"/>
        <w:spacing w:line="360" w:lineRule="auto"/>
        <w:ind w:firstLine="480" w:firstLineChars="200"/>
        <w:jc w:val="left"/>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注：评审工作坚持公开、公平、公正、择优的原则，欢迎同学监督，监督电话：3922279（纪委监察处），3920312（研究生院），3557392（学院副书记办）</w:t>
      </w:r>
      <w:r>
        <w:rPr>
          <w:rFonts w:hint="eastAsia" w:cs="宋体" w:asciiTheme="majorEastAsia" w:hAnsiTheme="majorEastAsia" w:eastAsiaTheme="majorEastAsia"/>
          <w:color w:val="auto"/>
          <w:kern w:val="0"/>
          <w:sz w:val="24"/>
          <w:szCs w:val="24"/>
          <w:lang w:eastAsia="zh-CN"/>
        </w:rPr>
        <w:t>，</w:t>
      </w:r>
      <w:r>
        <w:rPr>
          <w:rFonts w:hint="eastAsia" w:cs="宋体" w:asciiTheme="majorEastAsia" w:hAnsiTheme="majorEastAsia" w:eastAsiaTheme="majorEastAsia"/>
          <w:color w:val="auto"/>
          <w:kern w:val="0"/>
          <w:sz w:val="24"/>
          <w:szCs w:val="24"/>
          <w:lang w:val="en-US" w:eastAsia="zh-CN"/>
        </w:rPr>
        <w:t>3557650（学院科研科）</w:t>
      </w:r>
      <w:r>
        <w:rPr>
          <w:rFonts w:hint="eastAsia" w:cs="宋体" w:asciiTheme="majorEastAsia" w:hAnsiTheme="majorEastAsia" w:eastAsiaTheme="majorEastAsia"/>
          <w:color w:val="auto"/>
          <w:kern w:val="0"/>
          <w:sz w:val="24"/>
          <w:szCs w:val="24"/>
        </w:rPr>
        <w:t>。</w:t>
      </w:r>
    </w:p>
    <w:p>
      <w:pPr>
        <w:tabs>
          <w:tab w:val="left" w:pos="5400"/>
        </w:tabs>
        <w:spacing w:line="360" w:lineRule="auto"/>
        <w:rPr>
          <w:rFonts w:hint="eastAsia"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b/>
          <w:color w:val="44546A" w:themeColor="text2"/>
          <w:spacing w:val="10"/>
          <w:kern w:val="0"/>
          <w:sz w:val="24"/>
          <w:szCs w:val="24"/>
          <w:shd w:val="clear" w:color="auto" w:fill="FFFFFF"/>
          <w14:textFill>
            <w14:solidFill>
              <w14:schemeClr w14:val="tx2"/>
            </w14:solidFill>
          </w14:textFill>
        </w:rPr>
        <w:t>五.</w:t>
      </w:r>
      <w:r>
        <w:rPr>
          <w:rFonts w:cs="宋体" w:asciiTheme="majorEastAsia" w:hAnsiTheme="majorEastAsia" w:eastAsiaTheme="majorEastAsia"/>
          <w:b/>
          <w:color w:val="44546A" w:themeColor="text2"/>
          <w:spacing w:val="10"/>
          <w:kern w:val="0"/>
          <w:sz w:val="24"/>
          <w:szCs w:val="24"/>
          <w:shd w:val="clear" w:color="auto" w:fill="FFFFFF"/>
          <w14:textFill>
            <w14:solidFill>
              <w14:schemeClr w14:val="tx2"/>
            </w14:solidFill>
          </w14:textFill>
        </w:rPr>
        <w:t>考核办法</w:t>
      </w:r>
      <w:r>
        <w:rPr>
          <w:rFonts w:hint="eastAsia" w:cs="宋体" w:asciiTheme="majorEastAsia" w:hAnsiTheme="majorEastAsia" w:eastAsiaTheme="majorEastAsia"/>
          <w:b/>
          <w:color w:val="44546A" w:themeColor="text2"/>
          <w:spacing w:val="10"/>
          <w:kern w:val="0"/>
          <w:sz w:val="24"/>
          <w:szCs w:val="24"/>
          <w:shd w:val="clear" w:color="auto" w:fill="FFFFFF"/>
          <w14:textFill>
            <w14:solidFill>
              <w14:schemeClr w14:val="tx2"/>
            </w14:solidFill>
          </w14:textFill>
        </w:rPr>
        <w:t>。</w:t>
      </w:r>
    </w:p>
    <w:p>
      <w:pPr>
        <w:tabs>
          <w:tab w:val="left" w:pos="5400"/>
        </w:tabs>
        <w:spacing w:line="360" w:lineRule="auto"/>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 xml:space="preserve"> </w:t>
      </w:r>
      <w:r>
        <w:rPr>
          <w:rFonts w:hint="eastAsia" w:cs="Arial" w:asciiTheme="majorEastAsia" w:hAnsiTheme="majorEastAsia" w:eastAsiaTheme="majorEastAsia"/>
          <w:color w:val="44546A" w:themeColor="text2"/>
          <w:kern w:val="0"/>
          <w:sz w:val="24"/>
          <w:szCs w:val="24"/>
          <w14:textFill>
            <w14:solidFill>
              <w14:schemeClr w14:val="tx2"/>
            </w14:solidFill>
          </w14:textFill>
        </w:rPr>
        <w:t>1、博士、硕士研究生一年级：</w:t>
      </w:r>
    </w:p>
    <w:p>
      <w:pPr>
        <w:widowControl/>
        <w:shd w:val="clear" w:color="auto" w:fill="FFFFFF"/>
        <w:spacing w:line="360" w:lineRule="auto"/>
        <w:ind w:firstLine="480" w:firstLineChars="20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学业奖学金</w:t>
      </w:r>
      <w:r>
        <w:rPr>
          <w:rFonts w:hint="eastAsia" w:cs="宋体" w:asciiTheme="majorEastAsia" w:hAnsiTheme="majorEastAsia" w:eastAsiaTheme="majorEastAsia"/>
          <w:color w:val="44546A" w:themeColor="text2"/>
          <w:kern w:val="0"/>
          <w:sz w:val="24"/>
          <w:szCs w:val="24"/>
          <w:lang w:eastAsia="zh-CN"/>
          <w14:textFill>
            <w14:solidFill>
              <w14:schemeClr w14:val="tx2"/>
            </w14:solidFill>
          </w14:textFill>
        </w:rPr>
        <w:t>的</w:t>
      </w:r>
      <w:r>
        <w:rPr>
          <w:rFonts w:hint="eastAsia" w:cs="宋体" w:asciiTheme="majorEastAsia" w:hAnsiTheme="majorEastAsia" w:eastAsiaTheme="majorEastAsia"/>
          <w:color w:val="44546A" w:themeColor="text2"/>
          <w:kern w:val="0"/>
          <w:sz w:val="24"/>
          <w:szCs w:val="24"/>
          <w14:textFill>
            <w14:solidFill>
              <w14:schemeClr w14:val="tx2"/>
            </w14:solidFill>
          </w14:textFill>
        </w:rPr>
        <w:t>最终名额按照综合成绩排名获得</w:t>
      </w:r>
      <w:r>
        <w:rPr>
          <w:rFonts w:hint="eastAsia" w:cs="宋体" w:asciiTheme="majorEastAsia" w:hAnsiTheme="majorEastAsia" w:eastAsiaTheme="majorEastAsia"/>
          <w:color w:val="44546A" w:themeColor="text2"/>
          <w:kern w:val="0"/>
          <w:sz w:val="24"/>
          <w:szCs w:val="24"/>
          <w:lang w:eastAsia="zh-CN"/>
          <w14:textFill>
            <w14:solidFill>
              <w14:schemeClr w14:val="tx2"/>
            </w14:solidFill>
          </w14:textFill>
        </w:rPr>
        <w:t>（如有排名并列，考虑其</w:t>
      </w:r>
      <w:r>
        <w:rPr>
          <w:rFonts w:cs="宋体" w:asciiTheme="majorEastAsia" w:hAnsiTheme="majorEastAsia" w:eastAsiaTheme="majorEastAsia"/>
          <w:color w:val="44546A" w:themeColor="text2"/>
          <w:kern w:val="0"/>
          <w:sz w:val="24"/>
          <w:szCs w:val="24"/>
          <w14:textFill>
            <w14:solidFill>
              <w14:schemeClr w14:val="tx2"/>
            </w14:solidFill>
          </w14:textFill>
        </w:rPr>
        <w:t>社会服务及家庭经济情况等因素</w:t>
      </w:r>
      <w:r>
        <w:rPr>
          <w:rFonts w:hint="eastAsia" w:cs="宋体" w:asciiTheme="majorEastAsia" w:hAnsiTheme="majorEastAsia" w:eastAsiaTheme="majorEastAsia"/>
          <w:color w:val="44546A" w:themeColor="text2"/>
          <w:kern w:val="0"/>
          <w:sz w:val="24"/>
          <w:szCs w:val="24"/>
          <w:lang w:eastAsia="zh-CN"/>
          <w14:textFill>
            <w14:solidFill>
              <w14:schemeClr w14:val="tx2"/>
            </w14:solidFill>
          </w14:textFill>
        </w:rPr>
        <w:t>）。</w:t>
      </w:r>
    </w:p>
    <w:p>
      <w:pPr>
        <w:widowControl/>
        <w:spacing w:before="100" w:beforeAutospacing="1" w:after="100" w:afterAutospacing="1" w:line="360" w:lineRule="auto"/>
        <w:jc w:val="left"/>
        <w:rPr>
          <w:rFonts w:cs="宋体" w:asciiTheme="majorEastAsia" w:hAnsiTheme="majorEastAsia" w:eastAsiaTheme="majorEastAsia"/>
          <w:b/>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
          <w:bCs/>
          <w:color w:val="44546A" w:themeColor="text2"/>
          <w:kern w:val="0"/>
          <w:sz w:val="24"/>
          <w:szCs w:val="24"/>
          <w14:textFill>
            <w14:solidFill>
              <w14:schemeClr w14:val="tx2"/>
            </w14:solidFill>
          </w14:textFill>
        </w:rPr>
        <w:t>博士入学成绩计算方法</w:t>
      </w:r>
    </w:p>
    <w:p>
      <w:pPr>
        <w:widowControl/>
        <w:shd w:val="clear" w:color="auto" w:fill="FFFFFF"/>
        <w:spacing w:line="360" w:lineRule="auto"/>
        <w:ind w:firstLine="480" w:firstLineChars="20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入学成绩＝初试综合成绩×70％+复试百分制成绩×30％</w:t>
      </w:r>
    </w:p>
    <w:p>
      <w:pPr>
        <w:widowControl/>
        <w:shd w:val="clear" w:color="auto" w:fill="FFFFFF"/>
        <w:spacing w:line="360" w:lineRule="auto"/>
        <w:ind w:firstLine="480" w:firstLineChars="200"/>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初试综合成绩＝基础课百分制</w:t>
      </w:r>
      <w:r>
        <w:rPr>
          <w:rFonts w:cs="宋体" w:asciiTheme="majorEastAsia" w:hAnsiTheme="majorEastAsia" w:eastAsiaTheme="majorEastAsia"/>
          <w:color w:val="44546A" w:themeColor="text2"/>
          <w:kern w:val="0"/>
          <w:sz w:val="24"/>
          <w:szCs w:val="24"/>
          <w14:textFill>
            <w14:solidFill>
              <w14:schemeClr w14:val="tx2"/>
            </w14:solidFill>
          </w14:textFill>
        </w:rPr>
        <w:t>的平均成绩</w:t>
      </w:r>
      <w:r>
        <w:rPr>
          <w:rFonts w:hint="eastAsia" w:cs="宋体" w:asciiTheme="majorEastAsia" w:hAnsiTheme="majorEastAsia" w:eastAsiaTheme="majorEastAsia"/>
          <w:color w:val="44546A" w:themeColor="text2"/>
          <w:kern w:val="0"/>
          <w:sz w:val="24"/>
          <w:szCs w:val="24"/>
          <w14:textFill>
            <w14:solidFill>
              <w14:schemeClr w14:val="tx2"/>
            </w14:solidFill>
          </w14:textFill>
        </w:rPr>
        <w:t>×</w:t>
      </w:r>
      <w:r>
        <w:rPr>
          <w:rFonts w:cs="宋体" w:asciiTheme="majorEastAsia" w:hAnsiTheme="majorEastAsia" w:eastAsiaTheme="majorEastAsia"/>
          <w:color w:val="44546A" w:themeColor="text2"/>
          <w:kern w:val="0"/>
          <w:sz w:val="24"/>
          <w:szCs w:val="24"/>
          <w14:textFill>
            <w14:solidFill>
              <w14:schemeClr w14:val="tx2"/>
            </w14:solidFill>
          </w14:textFill>
        </w:rPr>
        <w:t>8</w:t>
      </w:r>
      <w:r>
        <w:rPr>
          <w:rFonts w:hint="eastAsia" w:cs="宋体" w:asciiTheme="majorEastAsia" w:hAnsiTheme="majorEastAsia" w:eastAsiaTheme="majorEastAsia"/>
          <w:color w:val="44546A" w:themeColor="text2"/>
          <w:kern w:val="0"/>
          <w:sz w:val="24"/>
          <w:szCs w:val="24"/>
          <w14:textFill>
            <w14:solidFill>
              <w14:schemeClr w14:val="tx2"/>
            </w14:solidFill>
          </w14:textFill>
        </w:rPr>
        <w:t>0％+专业基础课百分制</w:t>
      </w:r>
      <w:r>
        <w:rPr>
          <w:rFonts w:cs="宋体" w:asciiTheme="majorEastAsia" w:hAnsiTheme="majorEastAsia" w:eastAsiaTheme="majorEastAsia"/>
          <w:color w:val="44546A" w:themeColor="text2"/>
          <w:kern w:val="0"/>
          <w:sz w:val="24"/>
          <w:szCs w:val="24"/>
          <w14:textFill>
            <w14:solidFill>
              <w14:schemeClr w14:val="tx2"/>
            </w14:solidFill>
          </w14:textFill>
        </w:rPr>
        <w:t>的平均</w:t>
      </w:r>
      <w:r>
        <w:rPr>
          <w:rFonts w:hint="eastAsia" w:cs="宋体" w:asciiTheme="majorEastAsia" w:hAnsiTheme="majorEastAsia" w:eastAsiaTheme="majorEastAsia"/>
          <w:color w:val="44546A" w:themeColor="text2"/>
          <w:kern w:val="0"/>
          <w:sz w:val="24"/>
          <w:szCs w:val="24"/>
          <w14:textFill>
            <w14:solidFill>
              <w14:schemeClr w14:val="tx2"/>
            </w14:solidFill>
          </w14:textFill>
        </w:rPr>
        <w:t>成绩×</w:t>
      </w:r>
      <w:r>
        <w:rPr>
          <w:rFonts w:cs="宋体" w:asciiTheme="majorEastAsia" w:hAnsiTheme="majorEastAsia" w:eastAsiaTheme="majorEastAsia"/>
          <w:color w:val="44546A" w:themeColor="text2"/>
          <w:kern w:val="0"/>
          <w:sz w:val="24"/>
          <w:szCs w:val="24"/>
          <w14:textFill>
            <w14:solidFill>
              <w14:schemeClr w14:val="tx2"/>
            </w14:solidFill>
          </w14:textFill>
        </w:rPr>
        <w:t>20</w:t>
      </w:r>
      <w:r>
        <w:rPr>
          <w:rFonts w:hint="eastAsia" w:cs="宋体" w:asciiTheme="majorEastAsia" w:hAnsiTheme="majorEastAsia" w:eastAsiaTheme="majorEastAsia"/>
          <w:color w:val="44546A" w:themeColor="text2"/>
          <w:kern w:val="0"/>
          <w:sz w:val="24"/>
          <w:szCs w:val="24"/>
          <w14:textFill>
            <w14:solidFill>
              <w14:schemeClr w14:val="tx2"/>
            </w14:solidFill>
          </w14:textFill>
        </w:rPr>
        <w:t>％</w:t>
      </w:r>
    </w:p>
    <w:p>
      <w:pPr>
        <w:widowControl/>
        <w:spacing w:before="100" w:beforeAutospacing="1" w:after="100" w:afterAutospacing="1" w:line="360" w:lineRule="auto"/>
        <w:ind w:firstLine="384" w:firstLineChars="147"/>
        <w:jc w:val="left"/>
        <w:rPr>
          <w:rFonts w:cs="宋体" w:asciiTheme="majorEastAsia" w:hAnsiTheme="majorEastAsia" w:eastAsiaTheme="majorEastAsia"/>
          <w:b/>
          <w:color w:val="44546A" w:themeColor="text2"/>
          <w:spacing w:val="10"/>
          <w:kern w:val="0"/>
          <w:sz w:val="24"/>
          <w:szCs w:val="24"/>
          <w:shd w:val="clear" w:color="auto" w:fill="FFFFFF"/>
          <w14:textFill>
            <w14:solidFill>
              <w14:schemeClr w14:val="tx2"/>
            </w14:solidFill>
          </w14:textFill>
        </w:rPr>
      </w:pPr>
      <w:r>
        <w:rPr>
          <w:rFonts w:hint="eastAsia" w:cs="宋体" w:asciiTheme="majorEastAsia" w:hAnsiTheme="majorEastAsia" w:eastAsiaTheme="majorEastAsia"/>
          <w:b/>
          <w:color w:val="44546A" w:themeColor="text2"/>
          <w:spacing w:val="10"/>
          <w:kern w:val="0"/>
          <w:sz w:val="24"/>
          <w:szCs w:val="24"/>
          <w:shd w:val="clear" w:color="auto" w:fill="FFFFFF"/>
          <w14:textFill>
            <w14:solidFill>
              <w14:schemeClr w14:val="tx2"/>
            </w14:solidFill>
          </w14:textFill>
        </w:rPr>
        <w:t>硕士入学成绩计算方法：</w:t>
      </w:r>
    </w:p>
    <w:p>
      <w:pPr>
        <w:widowControl/>
        <w:spacing w:before="100" w:beforeAutospacing="1" w:after="100" w:afterAutospacing="1" w:line="360" w:lineRule="auto"/>
        <w:ind w:firstLine="360" w:firstLineChars="150"/>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14:textFill>
            <w14:solidFill>
              <w14:schemeClr w14:val="tx2"/>
            </w14:solidFill>
          </w14:textFill>
        </w:rPr>
        <w:t>入学成绩=初试综合成绩×70％+复试成绩×30％</w:t>
      </w:r>
    </w:p>
    <w:p>
      <w:pPr>
        <w:widowControl/>
        <w:spacing w:before="100" w:beforeAutospacing="1" w:after="100" w:afterAutospacing="1" w:line="360" w:lineRule="auto"/>
        <w:ind w:firstLine="360" w:firstLineChars="150"/>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14:textFill>
            <w14:solidFill>
              <w14:schemeClr w14:val="tx2"/>
            </w14:solidFill>
          </w14:textFill>
        </w:rPr>
        <w:t>初试综合成绩=国考课百分制的平均成绩×80％+校考课百分制的平均成绩×20％</w:t>
      </w:r>
    </w:p>
    <w:p>
      <w:pPr>
        <w:widowControl/>
        <w:spacing w:before="100" w:beforeAutospacing="1" w:after="100" w:afterAutospacing="1" w:line="360" w:lineRule="auto"/>
        <w:ind w:firstLine="600" w:firstLineChars="250"/>
        <w:jc w:val="left"/>
        <w:rPr>
          <w:rFonts w:hint="eastAsia"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14:textFill>
            <w14:solidFill>
              <w14:schemeClr w14:val="tx2"/>
            </w14:solidFill>
          </w14:textFill>
        </w:rPr>
        <w:t>注：计算</w:t>
      </w:r>
      <w:r>
        <w:rPr>
          <w:rFonts w:cs="宋体" w:asciiTheme="majorEastAsia" w:hAnsiTheme="majorEastAsia" w:eastAsiaTheme="majorEastAsia"/>
          <w:bCs/>
          <w:color w:val="44546A" w:themeColor="text2"/>
          <w:kern w:val="0"/>
          <w:sz w:val="24"/>
          <w:szCs w:val="24"/>
          <w14:textFill>
            <w14:solidFill>
              <w14:schemeClr w14:val="tx2"/>
            </w14:solidFill>
          </w14:textFill>
        </w:rPr>
        <w:t>国考科目百分制的平均成绩</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时</w:t>
      </w:r>
      <w:r>
        <w:rPr>
          <w:rFonts w:cs="宋体" w:asciiTheme="majorEastAsia" w:hAnsiTheme="majorEastAsia" w:eastAsiaTheme="majorEastAsia"/>
          <w:bCs/>
          <w:color w:val="44546A" w:themeColor="text2"/>
          <w:kern w:val="0"/>
          <w:sz w:val="24"/>
          <w:szCs w:val="24"/>
          <w14:textFill>
            <w14:solidFill>
              <w14:schemeClr w14:val="tx2"/>
            </w14:solidFill>
          </w14:textFill>
        </w:rPr>
        <w:t>，各科目比重相同。</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计算</w:t>
      </w:r>
      <w:r>
        <w:rPr>
          <w:rFonts w:cs="宋体" w:asciiTheme="majorEastAsia" w:hAnsiTheme="majorEastAsia" w:eastAsiaTheme="majorEastAsia"/>
          <w:bCs/>
          <w:color w:val="44546A" w:themeColor="text2"/>
          <w:kern w:val="0"/>
          <w:sz w:val="24"/>
          <w:szCs w:val="24"/>
          <w14:textFill>
            <w14:solidFill>
              <w14:schemeClr w14:val="tx2"/>
            </w14:solidFill>
          </w14:textFill>
        </w:rPr>
        <w:t>校考科目百分制的</w:t>
      </w:r>
      <w:r>
        <w:rPr>
          <w:rFonts w:hint="eastAsia" w:cs="宋体" w:asciiTheme="majorEastAsia" w:hAnsiTheme="majorEastAsia" w:eastAsiaTheme="majorEastAsia"/>
          <w:bCs/>
          <w:color w:val="44546A" w:themeColor="text2"/>
          <w:kern w:val="0"/>
          <w:sz w:val="24"/>
          <w:szCs w:val="24"/>
          <w14:textFill>
            <w14:solidFill>
              <w14:schemeClr w14:val="tx2"/>
            </w14:solidFill>
          </w14:textFill>
        </w:rPr>
        <w:t>平均</w:t>
      </w:r>
      <w:r>
        <w:rPr>
          <w:rFonts w:cs="宋体" w:asciiTheme="majorEastAsia" w:hAnsiTheme="majorEastAsia" w:eastAsiaTheme="majorEastAsia"/>
          <w:bCs/>
          <w:color w:val="44546A" w:themeColor="text2"/>
          <w:kern w:val="0"/>
          <w:sz w:val="24"/>
          <w:szCs w:val="24"/>
          <w14:textFill>
            <w14:solidFill>
              <w14:schemeClr w14:val="tx2"/>
            </w14:solidFill>
          </w14:textFill>
        </w:rPr>
        <w:t>成绩时，各科目成绩比重相同。</w:t>
      </w:r>
    </w:p>
    <w:p>
      <w:pPr>
        <w:tabs>
          <w:tab w:val="left" w:pos="5400"/>
        </w:tabs>
        <w:spacing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2.二、博士、硕士研究生二年级：</w:t>
      </w:r>
    </w:p>
    <w:p>
      <w:pPr>
        <w:tabs>
          <w:tab w:val="left" w:pos="5400"/>
        </w:tabs>
        <w:spacing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考核学生学业成绩为主兼顾社会服务及家庭经济情况等因素。</w:t>
      </w:r>
    </w:p>
    <w:p>
      <w:pPr>
        <w:tabs>
          <w:tab w:val="left" w:pos="5400"/>
        </w:tabs>
        <w:spacing w:before="624" w:beforeLines="200" w:after="312" w:afterLines="100"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学业成绩分数=课程平均成绩A＝</w:t>
      </w:r>
      <w:r>
        <w:rPr>
          <w:rFonts w:hint="eastAsia" w:cs="Arial" w:asciiTheme="majorEastAsia" w:hAnsiTheme="majorEastAsia" w:eastAsiaTheme="majorEastAsia"/>
          <w:color w:val="111111"/>
          <w:kern w:val="0"/>
          <w:sz w:val="24"/>
          <w:szCs w:val="24"/>
        </w:rPr>
        <w:object>
          <v:shape id="_x0000_i1025" o:spt="75" type="#_x0000_t75" style="height:46.5pt;width:162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tabs>
          <w:tab w:val="left" w:pos="5400"/>
        </w:tabs>
        <w:spacing w:before="624" w:beforeLines="200" w:after="312" w:afterLines="100"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每门课程标准成绩：</w:t>
      </w:r>
      <w:r>
        <w:rPr>
          <w:rFonts w:hint="eastAsia" w:cs="Arial" w:asciiTheme="majorEastAsia" w:hAnsiTheme="majorEastAsia" w:eastAsiaTheme="majorEastAsia"/>
          <w:color w:val="111111"/>
          <w:kern w:val="0"/>
          <w:sz w:val="24"/>
          <w:szCs w:val="24"/>
        </w:rPr>
        <w:object>
          <v:shape id="_x0000_i1026" o:spt="75" type="#_x0000_t75" style="height:14.25pt;width:17.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cs="Arial" w:asciiTheme="majorEastAsia" w:hAnsiTheme="majorEastAsia" w:eastAsiaTheme="majorEastAsia"/>
          <w:color w:val="111111"/>
          <w:kern w:val="0"/>
          <w:sz w:val="24"/>
          <w:szCs w:val="24"/>
        </w:rPr>
        <w:t>= 100×</w:t>
      </w:r>
      <w:r>
        <w:rPr>
          <w:rFonts w:hint="eastAsia" w:cs="Arial" w:asciiTheme="majorEastAsia" w:hAnsiTheme="majorEastAsia" w:eastAsiaTheme="majorEastAsia"/>
          <w:color w:val="111111"/>
          <w:kern w:val="0"/>
          <w:sz w:val="24"/>
          <w:szCs w:val="24"/>
        </w:rPr>
        <w:object>
          <v:shape id="_x0000_i1027" o:spt="75" type="#_x0000_t75" style="height:32.25pt;width:15.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tabs>
          <w:tab w:val="left" w:pos="5400"/>
        </w:tabs>
        <w:spacing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（Si为某门课程成绩，</w:t>
      </w:r>
      <w:r>
        <w:rPr>
          <w:rFonts w:hint="eastAsia" w:cs="Arial" w:asciiTheme="majorEastAsia" w:hAnsiTheme="majorEastAsia" w:eastAsiaTheme="majorEastAsia"/>
          <w:color w:val="111111"/>
          <w:kern w:val="0"/>
          <w:sz w:val="24"/>
          <w:szCs w:val="24"/>
        </w:rPr>
        <w:object>
          <v:shape id="_x0000_i1028" o:spt="75" type="#_x0000_t75" style="height:17.25pt;width:14.2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cs="Arial" w:asciiTheme="majorEastAsia" w:hAnsiTheme="majorEastAsia" w:eastAsiaTheme="majorEastAsia"/>
          <w:color w:val="111111"/>
          <w:kern w:val="0"/>
          <w:sz w:val="24"/>
          <w:szCs w:val="24"/>
        </w:rPr>
        <w:t>为该门课程的平均成绩）</w:t>
      </w:r>
    </w:p>
    <w:p>
      <w:pPr>
        <w:tabs>
          <w:tab w:val="left" w:pos="5400"/>
        </w:tabs>
        <w:spacing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其中：①课程按研究生院培养科认定的期末成绩计；</w:t>
      </w:r>
    </w:p>
    <w:p>
      <w:pPr>
        <w:tabs>
          <w:tab w:val="left" w:pos="5400"/>
        </w:tabs>
        <w:spacing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 xml:space="preserve">      ②有缺考科目者取消当年的参评资格。</w:t>
      </w:r>
    </w:p>
    <w:p>
      <w:pPr>
        <w:tabs>
          <w:tab w:val="left" w:pos="5400"/>
        </w:tabs>
        <w:spacing w:line="360" w:lineRule="auto"/>
        <w:ind w:firstLine="480" w:firstLineChars="200"/>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3、博士、硕士研究生三年级：</w:t>
      </w:r>
    </w:p>
    <w:p>
      <w:pPr>
        <w:tabs>
          <w:tab w:val="left" w:pos="5400"/>
        </w:tabs>
        <w:spacing w:line="360" w:lineRule="auto"/>
        <w:ind w:firstLine="480" w:firstLineChars="200"/>
        <w:rPr>
          <w:rFonts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主要评价研究生参与导师及实验室科研工作、参加学术科技活动、学科竞赛获奖、论文发表、参与编写专著、获得科研成果和发明专利、社会工作等情况。参评时硕士三年级要求通过学位英语考试。此项考核细则参考学院国家奖学金评定办法。</w:t>
      </w:r>
    </w:p>
    <w:p>
      <w:pPr>
        <w:tabs>
          <w:tab w:val="left" w:pos="5400"/>
        </w:tabs>
        <w:spacing w:line="360" w:lineRule="auto"/>
        <w:rPr>
          <w:rFonts w:cs="Arial"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b/>
          <w:color w:val="44546A" w:themeColor="text2"/>
          <w:spacing w:val="10"/>
          <w:kern w:val="0"/>
          <w:sz w:val="24"/>
          <w:szCs w:val="24"/>
          <w:shd w:val="clear" w:color="auto" w:fill="FFFFFF"/>
          <w14:textFill>
            <w14:solidFill>
              <w14:schemeClr w14:val="tx2"/>
            </w14:solidFill>
          </w14:textFill>
        </w:rPr>
        <w:t>五、评审程序</w:t>
      </w:r>
    </w:p>
    <w:p>
      <w:pPr>
        <w:widowControl/>
        <w:spacing w:line="360" w:lineRule="auto"/>
        <w:ind w:firstLine="480" w:firstLineChars="200"/>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14:textFill>
            <w14:solidFill>
              <w14:schemeClr w14:val="tx2"/>
            </w14:solidFill>
          </w14:textFill>
        </w:rPr>
        <w:t>1.研究生学业奖学金须于5月13日下午6时前向学院科研科按要求提交《研究生学业奖学金申请表》（见附件1，双面打印，含电子稿）、研究生入学成绩（成绩单由科研科提供、公示）、材料以班级为单位上交，所有材料过时不收。</w:t>
      </w:r>
    </w:p>
    <w:p>
      <w:pPr>
        <w:widowControl/>
        <w:spacing w:line="360" w:lineRule="auto"/>
        <w:ind w:firstLine="480" w:firstLineChars="200"/>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14:textFill>
            <w14:solidFill>
              <w14:schemeClr w14:val="tx2"/>
            </w14:solidFill>
          </w14:textFill>
        </w:rPr>
        <w:t>2.经学院研究生学业奖学金评审委员会审核，确定初选名单及排序，并在本学院范围内公示3天。公示期内有异议者，由本学院评审委员会及时研究并予以答复，最终名额按研究生院分配名额如数上报学校研究生学业奖学金评审领导小组办公室。</w:t>
      </w:r>
    </w:p>
    <w:p>
      <w:pPr>
        <w:widowControl/>
        <w:shd w:val="clear" w:color="auto" w:fill="FFFFFF"/>
        <w:spacing w:line="360" w:lineRule="auto"/>
        <w:ind w:firstLine="480" w:firstLineChars="200"/>
        <w:jc w:val="left"/>
        <w:rPr>
          <w:rFonts w:cs="宋体" w:asciiTheme="majorEastAsia" w:hAnsiTheme="majorEastAsia" w:eastAsiaTheme="majorEastAsia"/>
          <w:color w:val="44546A" w:themeColor="text2"/>
          <w:kern w:val="0"/>
          <w:sz w:val="24"/>
          <w:szCs w:val="24"/>
          <w14:textFill>
            <w14:solidFill>
              <w14:schemeClr w14:val="tx2"/>
            </w14:solidFill>
          </w14:textFill>
        </w:rPr>
      </w:pPr>
      <w:r>
        <w:rPr>
          <w:rFonts w:hint="eastAsia" w:cs="宋体" w:asciiTheme="majorEastAsia" w:hAnsiTheme="majorEastAsia" w:eastAsiaTheme="majorEastAsia"/>
          <w:color w:val="44546A" w:themeColor="text2"/>
          <w:kern w:val="0"/>
          <w:sz w:val="24"/>
          <w:szCs w:val="24"/>
          <w14:textFill>
            <w14:solidFill>
              <w14:schemeClr w14:val="tx2"/>
            </w14:solidFill>
          </w14:textFill>
        </w:rPr>
        <w:t>3.发文公布研究生学业奖学金获得者名单及等级。</w:t>
      </w:r>
    </w:p>
    <w:p>
      <w:pPr>
        <w:widowControl/>
        <w:spacing w:before="100" w:beforeAutospacing="1" w:after="100" w:afterAutospacing="1" w:line="360" w:lineRule="auto"/>
        <w:ind w:firstLine="470" w:firstLineChars="196"/>
        <w:jc w:val="left"/>
        <w:rPr>
          <w:rFonts w:cs="宋体" w:asciiTheme="majorEastAsia" w:hAnsiTheme="majorEastAsia" w:eastAsiaTheme="majorEastAsia"/>
          <w:bCs/>
          <w:color w:val="44546A" w:themeColor="text2"/>
          <w:kern w:val="0"/>
          <w:sz w:val="24"/>
          <w:szCs w:val="24"/>
          <w14:textFill>
            <w14:solidFill>
              <w14:schemeClr w14:val="tx2"/>
            </w14:solidFill>
          </w14:textFill>
        </w:rPr>
      </w:pPr>
      <w:r>
        <w:rPr>
          <w:rFonts w:hint="eastAsia" w:cs="宋体" w:asciiTheme="majorEastAsia" w:hAnsiTheme="majorEastAsia" w:eastAsiaTheme="majorEastAsia"/>
          <w:bCs/>
          <w:color w:val="44546A" w:themeColor="text2"/>
          <w:kern w:val="0"/>
          <w:sz w:val="24"/>
          <w:szCs w:val="24"/>
          <w14:textFill>
            <w14:solidFill>
              <w14:schemeClr w14:val="tx2"/>
            </w14:solidFill>
          </w14:textFill>
        </w:rPr>
        <w:t>4．本细则解释权归材料科学与工程学院研究生学业奖学金评审委员会。</w:t>
      </w:r>
    </w:p>
    <w:p>
      <w:pPr>
        <w:tabs>
          <w:tab w:val="left" w:pos="8460"/>
        </w:tabs>
        <w:spacing w:line="360" w:lineRule="auto"/>
        <w:ind w:firstLine="480" w:firstLineChars="200"/>
        <w:jc w:val="left"/>
        <w:rPr>
          <w:rFonts w:hint="eastAsia" w:cs="Arial" w:asciiTheme="majorEastAsia" w:hAnsiTheme="majorEastAsia" w:eastAsiaTheme="majorEastAsia"/>
          <w:color w:val="111111"/>
          <w:kern w:val="0"/>
          <w:sz w:val="24"/>
          <w:szCs w:val="24"/>
        </w:rPr>
      </w:pPr>
      <w:r>
        <w:rPr>
          <w:rFonts w:hint="eastAsia" w:cs="Arial" w:asciiTheme="majorEastAsia" w:hAnsiTheme="majorEastAsia" w:eastAsiaTheme="majorEastAsia"/>
          <w:color w:val="111111"/>
          <w:kern w:val="0"/>
          <w:sz w:val="24"/>
          <w:szCs w:val="24"/>
        </w:rPr>
        <w:t>5．本办法自下发之日起从2014级研究生开始施行，《中北大学研究生学业奖学金评定管理办法（试行）》（校研〔2015〕3号）同时废止。</w:t>
      </w:r>
    </w:p>
    <w:p>
      <w:pPr>
        <w:spacing w:line="360" w:lineRule="auto"/>
        <w:rPr>
          <w:rFonts w:hint="eastAsia"/>
          <w:b/>
          <w:color w:val="44546A" w:themeColor="text2"/>
          <w:sz w:val="24"/>
          <w:szCs w:val="24"/>
          <w14:textFill>
            <w14:solidFill>
              <w14:schemeClr w14:val="tx2"/>
            </w14:solidFill>
          </w14:textFill>
        </w:rPr>
      </w:pPr>
    </w:p>
    <w:p>
      <w:pPr>
        <w:spacing w:line="360" w:lineRule="auto"/>
        <w:rPr>
          <w:rFonts w:hint="eastAsia"/>
          <w:b/>
          <w:color w:val="44546A" w:themeColor="text2"/>
          <w:sz w:val="24"/>
          <w:szCs w:val="24"/>
          <w14:textFill>
            <w14:solidFill>
              <w14:schemeClr w14:val="tx2"/>
            </w14:solidFill>
          </w14:textFill>
        </w:rPr>
      </w:pPr>
      <w:r>
        <w:rPr>
          <w:rFonts w:hint="eastAsia"/>
          <w:b/>
          <w:color w:val="44546A" w:themeColor="text2"/>
          <w:sz w:val="24"/>
          <w:szCs w:val="24"/>
          <w14:textFill>
            <w14:solidFill>
              <w14:schemeClr w14:val="tx2"/>
            </w14:solidFill>
          </w14:textFill>
        </w:rPr>
        <w:t>附：《中北大学材料科学与工程学院国家奖学金评定办法----学术成果加分》</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１. 学术论文得分</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全日制研究生在校期间发表与本研究方向一致的非会议SCI、EI收录论文，第一署名单位须为中北大学。同一篇论文符合下述多项条件的，加分时按其最高级别，不重复累加。对于研究生为第一作者的按下表计算得分；对于教师为第一作者，研究生为第二作者的按下表中分值的1/2计算。</w:t>
      </w:r>
    </w:p>
    <w:tbl>
      <w:tblPr>
        <w:tblStyle w:val="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87"/>
        <w:gridCol w:w="2084"/>
        <w:gridCol w:w="41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71"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论文发表期刊类型</w:t>
            </w:r>
          </w:p>
        </w:tc>
        <w:tc>
          <w:tcPr>
            <w:tcW w:w="416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7"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SCI</w:t>
            </w:r>
          </w:p>
        </w:tc>
        <w:tc>
          <w:tcPr>
            <w:tcW w:w="208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一区</w:t>
            </w:r>
          </w:p>
        </w:tc>
        <w:tc>
          <w:tcPr>
            <w:tcW w:w="416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7"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08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二区</w:t>
            </w:r>
          </w:p>
        </w:tc>
        <w:tc>
          <w:tcPr>
            <w:tcW w:w="416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7"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08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三区</w:t>
            </w:r>
          </w:p>
        </w:tc>
        <w:tc>
          <w:tcPr>
            <w:tcW w:w="416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87"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08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四区</w:t>
            </w:r>
          </w:p>
        </w:tc>
        <w:tc>
          <w:tcPr>
            <w:tcW w:w="416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171"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EI</w:t>
            </w:r>
          </w:p>
        </w:tc>
        <w:tc>
          <w:tcPr>
            <w:tcW w:w="416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50</w:t>
            </w:r>
          </w:p>
        </w:tc>
      </w:tr>
    </w:tbl>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注：上述材料审核分为以下两种情况：</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①已出版发表的论文需要提供论文原件及相应检索证明原件或相应期刊SCI、EI刊源证明。</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②已接收但还未正式出版的论文需要能够在网上检索到论文并有相对应的DIO号，并附相应期刊SCI、EI刊源证明。</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２. 科技成果得分</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研究生作为第一负责人主持的科研项目按下表计算得分。</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 xml:space="preserve">  </w:t>
      </w:r>
    </w:p>
    <w:tbl>
      <w:tblPr>
        <w:tblStyle w:val="7"/>
        <w:tblW w:w="55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90"/>
        <w:gridCol w:w="27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项目级别</w:t>
            </w:r>
          </w:p>
        </w:tc>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主持人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国家级</w:t>
            </w:r>
          </w:p>
        </w:tc>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省部级</w:t>
            </w:r>
          </w:p>
        </w:tc>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市级（含横向项目）</w:t>
            </w:r>
          </w:p>
        </w:tc>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校级研究生创新计划</w:t>
            </w:r>
          </w:p>
        </w:tc>
        <w:tc>
          <w:tcPr>
            <w:tcW w:w="27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10</w:t>
            </w:r>
          </w:p>
        </w:tc>
      </w:tr>
    </w:tbl>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注：上述材料的审核以项目任务书原件为依据。</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３. 科技竞赛得分</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国家级、省部级或校级科技竞赛获奖（仅仅包括挑战杯、数学建模、周培源力学竞赛、全国英语竞赛），第一负责人按下表计算得分。对于教师的科研获奖，排除掉教师，顺序排在第一位的研究生按下表中分值的1/2计算得分，顺序排在第二位及以后的研究生均不计算得分。</w:t>
      </w:r>
    </w:p>
    <w:tbl>
      <w:tblPr>
        <w:tblStyle w:val="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79"/>
        <w:gridCol w:w="2778"/>
        <w:gridCol w:w="27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比赛级别</w:t>
            </w: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等级</w:t>
            </w:r>
          </w:p>
        </w:tc>
        <w:tc>
          <w:tcPr>
            <w:tcW w:w="277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负责人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国家级</w:t>
            </w: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一等奖</w:t>
            </w:r>
          </w:p>
        </w:tc>
        <w:tc>
          <w:tcPr>
            <w:tcW w:w="277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w:t>
            </w:r>
            <w:r>
              <w:rPr>
                <w:rFonts w:cs="宋体" w:asciiTheme="minorEastAsia" w:hAnsiTheme="minorEastAsia"/>
                <w:kern w:val="0"/>
                <w:sz w:val="24"/>
                <w:szCs w:val="24"/>
              </w:rPr>
              <w:t>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二等奖</w:t>
            </w:r>
          </w:p>
        </w:tc>
        <w:tc>
          <w:tcPr>
            <w:tcW w:w="277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cs="宋体" w:asciiTheme="minorEastAsia" w:hAnsiTheme="minorEastAsia"/>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三等奖</w:t>
            </w:r>
          </w:p>
        </w:tc>
        <w:tc>
          <w:tcPr>
            <w:tcW w:w="277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省部级</w:t>
            </w: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一等奖</w:t>
            </w:r>
          </w:p>
        </w:tc>
        <w:tc>
          <w:tcPr>
            <w:tcW w:w="277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二等奖</w:t>
            </w:r>
          </w:p>
        </w:tc>
        <w:tc>
          <w:tcPr>
            <w:tcW w:w="277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440" w:lineRule="exact"/>
              <w:jc w:val="center"/>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3</w:t>
            </w:r>
            <w:r>
              <w:rPr>
                <w:rFonts w:cs="宋体" w:asciiTheme="minorEastAsia" w:hAnsiTheme="minorEastAsia"/>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三等奖</w:t>
            </w:r>
          </w:p>
        </w:tc>
        <w:tc>
          <w:tcPr>
            <w:tcW w:w="277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lang w:val="en-US" w:eastAsia="zh-CN"/>
              </w:rPr>
              <w:t>0</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7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校级</w:t>
            </w:r>
          </w:p>
        </w:tc>
        <w:tc>
          <w:tcPr>
            <w:tcW w:w="277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cs="宋体" w:asciiTheme="minorEastAsia" w:hAnsiTheme="minorEastAsia"/>
                <w:kern w:val="0"/>
                <w:sz w:val="24"/>
                <w:szCs w:val="24"/>
              </w:rPr>
            </w:pPr>
          </w:p>
        </w:tc>
        <w:tc>
          <w:tcPr>
            <w:tcW w:w="277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440" w:lineRule="exact"/>
              <w:jc w:val="center"/>
              <w:rPr>
                <w:rFonts w:cs="宋体" w:asciiTheme="minorEastAsia" w:hAnsiTheme="minorEastAsia"/>
                <w:kern w:val="0"/>
                <w:sz w:val="24"/>
                <w:szCs w:val="24"/>
              </w:rPr>
            </w:pPr>
            <w:r>
              <w:rPr>
                <w:rFonts w:cs="宋体" w:asciiTheme="minorEastAsia" w:hAnsiTheme="minorEastAsia"/>
                <w:kern w:val="0"/>
                <w:sz w:val="24"/>
                <w:szCs w:val="24"/>
              </w:rPr>
              <w:t>10</w:t>
            </w:r>
          </w:p>
        </w:tc>
      </w:tr>
    </w:tbl>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注：上述材料的审核以获奖证书原件为依据。</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４.专利得分</w:t>
      </w:r>
    </w:p>
    <w:p>
      <w:pPr>
        <w:widowControl/>
        <w:spacing w:before="100" w:beforeAutospacing="1" w:after="100" w:afterAutospacing="1" w:line="440" w:lineRule="exact"/>
        <w:ind w:firstLine="375"/>
        <w:jc w:val="left"/>
        <w:rPr>
          <w:rFonts w:cs="宋体" w:asciiTheme="minorEastAsia" w:hAnsiTheme="minorEastAsia"/>
          <w:color w:val="414040"/>
          <w:kern w:val="0"/>
          <w:sz w:val="24"/>
          <w:szCs w:val="24"/>
        </w:rPr>
      </w:pPr>
      <w:r>
        <w:rPr>
          <w:rFonts w:hint="eastAsia" w:cs="宋体" w:asciiTheme="minorEastAsia" w:hAnsiTheme="minorEastAsia"/>
          <w:color w:val="414040"/>
          <w:kern w:val="0"/>
          <w:sz w:val="24"/>
          <w:szCs w:val="24"/>
        </w:rPr>
        <w:t>对于授权的发明专利，排名前四位有效。每一名200分，第二名150分，第三名100分，第四名50分。对于已公开但未授权的发明专利，相应分数减半。材料审核以授权证书和公开原件为依据。</w:t>
      </w:r>
    </w:p>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5.社会实践得分</w:t>
      </w:r>
    </w:p>
    <w:p>
      <w:pPr>
        <w:widowControl/>
        <w:numPr>
          <w:ilvl w:val="0"/>
          <w:numId w:val="1"/>
        </w:numPr>
        <w:spacing w:before="100" w:beforeAutospacing="1" w:after="100" w:afterAutospacing="1" w:line="440" w:lineRule="exac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参加文艺、体育比赛、获奖者可加分：</w:t>
      </w:r>
    </w:p>
    <w:tbl>
      <w:tblPr>
        <w:tblStyle w:val="7"/>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681"/>
        <w:gridCol w:w="1680"/>
        <w:gridCol w:w="1688"/>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类别</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一等奖</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二等奖</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三等奖</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国家级</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8分</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6分</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4分</w:t>
            </w: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集体获奖按个人标准减半计分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省部级</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6分</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4分</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2分</w:t>
            </w: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市级</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4分</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2分</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1分</w:t>
            </w: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校级</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2分</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1分</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0.5分</w:t>
            </w: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p>
        </w:tc>
      </w:tr>
    </w:tbl>
    <w:p>
      <w:pPr>
        <w:widowControl/>
        <w:numPr>
          <w:ilvl w:val="0"/>
          <w:numId w:val="1"/>
        </w:numPr>
        <w:spacing w:before="100" w:beforeAutospacing="1" w:after="100" w:afterAutospacing="1" w:line="440" w:lineRule="exac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担任院校级干部考核合格者可加分（校院学生会干部要求副部以上，担任社会工作满一年方具备加分条件，担任多项学生干部职务，当年取最高项加分，三年均担任学生干部可累计加分）。</w:t>
      </w:r>
    </w:p>
    <w:tbl>
      <w:tblPr>
        <w:tblStyle w:val="7"/>
        <w:tblW w:w="8189"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117"/>
        <w:gridCol w:w="1539"/>
        <w:gridCol w:w="1103"/>
        <w:gridCol w:w="1673"/>
        <w:gridCol w:w="1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职务</w:t>
            </w:r>
          </w:p>
        </w:tc>
        <w:tc>
          <w:tcPr>
            <w:tcW w:w="1117" w:type="dxa"/>
          </w:tcPr>
          <w:p>
            <w:pPr>
              <w:widowControl/>
              <w:spacing w:before="100" w:beforeAutospacing="1" w:after="100" w:afterAutospacing="1" w:line="440" w:lineRule="exac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加分</w:t>
            </w:r>
          </w:p>
        </w:tc>
        <w:tc>
          <w:tcPr>
            <w:tcW w:w="1539"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职务</w:t>
            </w:r>
          </w:p>
        </w:tc>
        <w:tc>
          <w:tcPr>
            <w:tcW w:w="1103"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加分</w:t>
            </w:r>
          </w:p>
        </w:tc>
        <w:tc>
          <w:tcPr>
            <w:tcW w:w="1673"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职务</w:t>
            </w:r>
          </w:p>
        </w:tc>
        <w:tc>
          <w:tcPr>
            <w:tcW w:w="1129" w:type="dxa"/>
            <w:gridSpan w:val="2"/>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628" w:type="dxa"/>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校主席团级</w:t>
            </w:r>
          </w:p>
        </w:tc>
        <w:tc>
          <w:tcPr>
            <w:tcW w:w="1117"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2．5分</w:t>
            </w:r>
          </w:p>
        </w:tc>
        <w:tc>
          <w:tcPr>
            <w:tcW w:w="1539"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院主席级</w:t>
            </w:r>
          </w:p>
        </w:tc>
        <w:tc>
          <w:tcPr>
            <w:tcW w:w="1103"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2分</w:t>
            </w:r>
          </w:p>
        </w:tc>
        <w:tc>
          <w:tcPr>
            <w:tcW w:w="1685" w:type="dxa"/>
            <w:gridSpan w:val="2"/>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班团干部</w:t>
            </w:r>
          </w:p>
        </w:tc>
        <w:tc>
          <w:tcPr>
            <w:tcW w:w="1117"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28" w:type="dxa"/>
            <w:vAlign w:val="center"/>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干事</w:t>
            </w:r>
          </w:p>
        </w:tc>
        <w:tc>
          <w:tcPr>
            <w:tcW w:w="1117"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2分</w:t>
            </w:r>
          </w:p>
        </w:tc>
        <w:tc>
          <w:tcPr>
            <w:tcW w:w="1539"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部长级</w:t>
            </w:r>
          </w:p>
        </w:tc>
        <w:tc>
          <w:tcPr>
            <w:tcW w:w="1103"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1．5分</w:t>
            </w:r>
          </w:p>
        </w:tc>
        <w:tc>
          <w:tcPr>
            <w:tcW w:w="1685" w:type="dxa"/>
            <w:gridSpan w:val="2"/>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委员</w:t>
            </w:r>
          </w:p>
        </w:tc>
        <w:tc>
          <w:tcPr>
            <w:tcW w:w="1117" w:type="dxa"/>
          </w:tcPr>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1分</w:t>
            </w:r>
          </w:p>
        </w:tc>
      </w:tr>
    </w:tbl>
    <w:p>
      <w:pPr>
        <w:widowControl/>
        <w:numPr>
          <w:ilvl w:val="0"/>
          <w:numId w:val="1"/>
        </w:numPr>
        <w:spacing w:before="100" w:beforeAutospacing="1" w:after="100" w:afterAutospacing="1" w:line="440" w:lineRule="exac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特殊荣誉奖得分：具有见义勇为、拾金不昧行为或为学校，学院做出了特殊贡献，且受到学校学院通报表扬的，根据所提供的材料方可酌情加3-5分。</w:t>
      </w:r>
    </w:p>
    <w:p>
      <w:pPr>
        <w:widowControl/>
        <w:numPr>
          <w:ilvl w:val="0"/>
          <w:numId w:val="1"/>
        </w:numPr>
        <w:spacing w:before="100" w:beforeAutospacing="1" w:after="100" w:afterAutospacing="1" w:line="440" w:lineRule="exac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其他加分：</w:t>
      </w:r>
    </w:p>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1.资格考试：英语六级证书，计算机等级三级及以上证书得3分（考核期内通过），其他资格证书（教师资格证及与行业证书）得1分，可累加。</w:t>
      </w:r>
    </w:p>
    <w:p>
      <w:pPr>
        <w:widowControl/>
        <w:spacing w:before="100" w:beforeAutospacing="1" w:after="100" w:afterAutospacing="1" w:line="440" w:lineRule="exact"/>
        <w:ind w:firstLine="375"/>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个人表彰：三好学生标兵、学生干部标兵得2分，校级荣誉称号（校优秀班干、校优秀团干、校优秀团员、校三好学生等）得1分，院级（院优秀班干、院优秀团干、院优秀团员）荣誉称号得0.5分，其他表彰得0.5分。</w:t>
      </w:r>
    </w:p>
    <w:p>
      <w:pPr>
        <w:spacing w:line="360" w:lineRule="auto"/>
        <w:rPr>
          <w:b/>
          <w:color w:val="44546A" w:themeColor="text2"/>
          <w:sz w:val="24"/>
          <w:szCs w:val="24"/>
          <w14:textFill>
            <w14:solidFill>
              <w14:schemeClr w14:val="tx2"/>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0000000000000000000"/>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5706484">
    <w:nsid w:val="17960074"/>
    <w:multiLevelType w:val="multilevel"/>
    <w:tmpl w:val="17960074"/>
    <w:lvl w:ilvl="0" w:tentative="1">
      <w:start w:val="1"/>
      <w:numFmt w:val="decimalEnclosedCircle"/>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957064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80"/>
    <w:rsid w:val="000442F5"/>
    <w:rsid w:val="00061967"/>
    <w:rsid w:val="000968D7"/>
    <w:rsid w:val="000E66E4"/>
    <w:rsid w:val="001757BF"/>
    <w:rsid w:val="001A73A7"/>
    <w:rsid w:val="002048E8"/>
    <w:rsid w:val="00230588"/>
    <w:rsid w:val="00263325"/>
    <w:rsid w:val="00271482"/>
    <w:rsid w:val="002C7D06"/>
    <w:rsid w:val="003477FD"/>
    <w:rsid w:val="00354C7B"/>
    <w:rsid w:val="00371055"/>
    <w:rsid w:val="00395B41"/>
    <w:rsid w:val="003F1F68"/>
    <w:rsid w:val="00400A69"/>
    <w:rsid w:val="00463792"/>
    <w:rsid w:val="0046731A"/>
    <w:rsid w:val="004B12C8"/>
    <w:rsid w:val="004B2AEB"/>
    <w:rsid w:val="004C25BD"/>
    <w:rsid w:val="005069BF"/>
    <w:rsid w:val="00512944"/>
    <w:rsid w:val="005364CE"/>
    <w:rsid w:val="005411D1"/>
    <w:rsid w:val="00572980"/>
    <w:rsid w:val="005B3105"/>
    <w:rsid w:val="005E6AE9"/>
    <w:rsid w:val="006136D8"/>
    <w:rsid w:val="00650A57"/>
    <w:rsid w:val="006575A3"/>
    <w:rsid w:val="00667DAE"/>
    <w:rsid w:val="00677A44"/>
    <w:rsid w:val="0069320E"/>
    <w:rsid w:val="006964B6"/>
    <w:rsid w:val="00720223"/>
    <w:rsid w:val="0074588A"/>
    <w:rsid w:val="00745F12"/>
    <w:rsid w:val="00821D0F"/>
    <w:rsid w:val="00835B3B"/>
    <w:rsid w:val="00845FC7"/>
    <w:rsid w:val="0088337F"/>
    <w:rsid w:val="00892911"/>
    <w:rsid w:val="008A5BB4"/>
    <w:rsid w:val="008D4518"/>
    <w:rsid w:val="0090651E"/>
    <w:rsid w:val="009573AD"/>
    <w:rsid w:val="009D74AB"/>
    <w:rsid w:val="00A13B9B"/>
    <w:rsid w:val="00A33764"/>
    <w:rsid w:val="00A47F3A"/>
    <w:rsid w:val="00AF411C"/>
    <w:rsid w:val="00B57E1B"/>
    <w:rsid w:val="00C11632"/>
    <w:rsid w:val="00C25545"/>
    <w:rsid w:val="00C40F1B"/>
    <w:rsid w:val="00C54B20"/>
    <w:rsid w:val="00D235FF"/>
    <w:rsid w:val="00D70DA1"/>
    <w:rsid w:val="00DA6F6B"/>
    <w:rsid w:val="00DE2398"/>
    <w:rsid w:val="00DF5DAB"/>
    <w:rsid w:val="00EA38F3"/>
    <w:rsid w:val="00EB3AAC"/>
    <w:rsid w:val="00EC464D"/>
    <w:rsid w:val="00F20F4B"/>
    <w:rsid w:val="00F568DE"/>
    <w:rsid w:val="00F85EA7"/>
    <w:rsid w:val="00FC438E"/>
    <w:rsid w:val="0AB673F0"/>
    <w:rsid w:val="119E707D"/>
    <w:rsid w:val="19DD7A68"/>
    <w:rsid w:val="4576174A"/>
    <w:rsid w:val="52FE0546"/>
    <w:rsid w:val="61F016F0"/>
    <w:rsid w:val="6CAA3A71"/>
    <w:rsid w:val="74833459"/>
    <w:rsid w:val="765D7701"/>
    <w:rsid w:val="790070FF"/>
    <w:rsid w:val="7EF9399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none"/>
    </w:rPr>
  </w:style>
  <w:style w:type="paragraph" w:customStyle="1" w:styleId="8">
    <w:name w:val="List Paragraph"/>
    <w:basedOn w:val="1"/>
    <w:qFormat/>
    <w:uiPriority w:val="34"/>
    <w:pPr>
      <w:ind w:firstLine="420" w:firstLineChars="200"/>
    </w:pPr>
  </w:style>
  <w:style w:type="character" w:customStyle="1" w:styleId="9">
    <w:name w:val="页眉 Char"/>
    <w:basedOn w:val="5"/>
    <w:link w:val="4"/>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15FED-4DA2-4065-8A2A-98AB047235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529</Words>
  <Characters>3016</Characters>
  <Lines>25</Lines>
  <Paragraphs>7</Paragraphs>
  <TotalTime>0</TotalTime>
  <ScaleCrop>false</ScaleCrop>
  <LinksUpToDate>false</LinksUpToDate>
  <CharactersWithSpaces>3538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2016-04-20T02:21:00Z</dcterms:created>
  <dc:creator>WangYan</dc:creator>
  <cp:lastModifiedBy>Administrator</cp:lastModifiedBy>
  <cp:lastPrinted>2016-04-21T08:35:35Z</cp:lastPrinted>
  <dcterms:modified xsi:type="dcterms:W3CDTF">2016-04-21T09:33:43Z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